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Bdr>
          <w:top w:color="auto" w:space="0" w:sz="0" w:val="none"/>
          <w:left w:color="auto" w:space="0" w:sz="0" w:val="none"/>
          <w:bottom w:color="auto" w:space="0" w:sz="0" w:val="none"/>
          <w:right w:color="auto" w:space="0" w:sz="0" w:val="none"/>
          <w:between w:color="auto" w:space="0" w:sz="0" w:val="none"/>
        </w:pBdr>
        <w:shd w:fill="f4f4f4" w:val="clear"/>
        <w:spacing w:after="0" w:before="0" w:lineRule="auto"/>
        <w:ind w:right="4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Rhetorical Analysis</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02">
      <w:pPr>
        <w:keepNext w:val="0"/>
        <w:keepLines w:val="0"/>
        <w:pBdr>
          <w:top w:color="auto" w:space="0" w:sz="0" w:val="none"/>
          <w:left w:color="auto" w:space="0" w:sz="0" w:val="none"/>
          <w:bottom w:color="auto" w:space="0" w:sz="0" w:val="none"/>
          <w:right w:color="auto" w:space="0" w:sz="0" w:val="none"/>
          <w:between w:color="auto" w:space="0" w:sz="0" w:val="none"/>
        </w:pBdr>
        <w:shd w:fill="f4f4f4" w:val="clear"/>
        <w:spacing w:after="0" w:before="0" w:lineRule="auto"/>
        <w:ind w:right="4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Assignment Details</w:t>
      </w:r>
    </w:p>
    <w:p w:rsidR="00000000" w:rsidDel="00000000" w:rsidP="00000000" w:rsidRDefault="00000000" w:rsidRPr="00000000" w14:paraId="00000003">
      <w:pPr>
        <w:pBdr>
          <w:top w:color="auto" w:space="0" w:sz="0" w:val="none"/>
          <w:left w:color="auto" w:space="0" w:sz="0" w:val="none"/>
          <w:bottom w:color="auto" w:space="0" w:sz="0" w:val="none"/>
          <w:right w:color="auto" w:space="0" w:sz="0" w:val="none"/>
          <w:between w:color="auto" w:space="0" w:sz="0" w:val="none"/>
        </w:pBdr>
        <w:shd w:fill="f4f4f4" w:val="clear"/>
        <w:spacing w:after="20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Instructions</w:t>
      </w:r>
    </w:p>
    <w:p w:rsidR="00000000" w:rsidDel="00000000" w:rsidP="00000000" w:rsidRDefault="00000000" w:rsidRPr="00000000" w14:paraId="00000004">
      <w:pPr>
        <w:pBdr>
          <w:top w:color="auto" w:space="0" w:sz="0" w:val="none"/>
          <w:left w:color="auto" w:space="0" w:sz="0" w:val="none"/>
          <w:bottom w:color="auto" w:space="0" w:sz="0" w:val="none"/>
          <w:right w:color="auto" w:space="0" w:sz="0" w:val="none"/>
          <w:between w:color="auto" w:space="0" w:sz="0" w:val="none"/>
        </w:pBdr>
        <w:shd w:fill="f4f4f4" w:val="clear"/>
        <w:spacing w:after="20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Provide a detailed and well-researched analysis of the speech by Emma Watson at: </w:t>
      </w:r>
    </w:p>
    <w:p w:rsidR="00000000" w:rsidDel="00000000" w:rsidP="00000000" w:rsidRDefault="00000000" w:rsidRPr="00000000" w14:paraId="00000005">
      <w:pPr>
        <w:pBdr>
          <w:top w:color="auto" w:space="0" w:sz="0" w:val="none"/>
          <w:left w:color="auto" w:space="0" w:sz="0" w:val="none"/>
          <w:bottom w:color="auto" w:space="0" w:sz="0" w:val="none"/>
          <w:right w:color="auto" w:space="0" w:sz="0" w:val="none"/>
          <w:between w:color="auto" w:space="0" w:sz="0" w:val="none"/>
        </w:pBdr>
        <w:shd w:fill="f4f4f4" w:val="clear"/>
        <w:spacing w:after="200" w:lineRule="auto"/>
        <w:rPr>
          <w:rFonts w:ascii="Times New Roman" w:cs="Times New Roman" w:eastAsia="Times New Roman" w:hAnsi="Times New Roman"/>
          <w:sz w:val="24"/>
          <w:szCs w:val="24"/>
          <w:u w:val="single"/>
        </w:rPr>
      </w:pPr>
      <w:hyperlink r:id="rId6">
        <w:r w:rsidDel="00000000" w:rsidR="00000000" w:rsidRPr="00000000">
          <w:rPr>
            <w:rFonts w:ascii="Times New Roman" w:cs="Times New Roman" w:eastAsia="Times New Roman" w:hAnsi="Times New Roman"/>
            <w:sz w:val="24"/>
            <w:szCs w:val="24"/>
            <w:u w:val="single"/>
            <w:rtl w:val="0"/>
          </w:rPr>
          <w:t xml:space="preserve">http://www.americanrhetoric.com/speeches/emmawatsonunitednationspeech.htm</w:t>
        </w:r>
      </w:hyperlink>
      <w:r w:rsidDel="00000000" w:rsidR="00000000" w:rsidRPr="00000000">
        <w:rPr>
          <w:rtl w:val="0"/>
        </w:rPr>
      </w:r>
    </w:p>
    <w:p w:rsidR="00000000" w:rsidDel="00000000" w:rsidP="00000000" w:rsidRDefault="00000000" w:rsidRPr="00000000" w14:paraId="00000006">
      <w:pPr>
        <w:pBdr>
          <w:top w:color="auto" w:space="0" w:sz="0" w:val="none"/>
          <w:left w:color="auto" w:space="0" w:sz="0" w:val="none"/>
          <w:bottom w:color="auto" w:space="0" w:sz="0" w:val="none"/>
          <w:right w:color="auto" w:space="0" w:sz="0" w:val="none"/>
          <w:between w:color="auto" w:space="0" w:sz="0" w:val="none"/>
        </w:pBdr>
        <w:shd w:fill="f4f4f4" w:val="clear"/>
        <w:spacing w:after="20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With reference to the readings from the course, information provided to you in the course material from Module 1 – Unit 4, and from at </w:t>
      </w:r>
      <w:r w:rsidDel="00000000" w:rsidR="00000000" w:rsidRPr="00000000">
        <w:rPr>
          <w:rFonts w:ascii="Times New Roman" w:cs="Times New Roman" w:eastAsia="Times New Roman" w:hAnsi="Times New Roman"/>
          <w:b w:val="1"/>
          <w:i w:val="1"/>
          <w:sz w:val="24"/>
          <w:szCs w:val="24"/>
          <w:rtl w:val="0"/>
        </w:rPr>
        <w:t xml:space="preserve">least 2 of the following secondary sources</w:t>
      </w:r>
      <w:r w:rsidDel="00000000" w:rsidR="00000000" w:rsidRPr="00000000">
        <w:rPr>
          <w:rFonts w:ascii="Times New Roman" w:cs="Times New Roman" w:eastAsia="Times New Roman" w:hAnsi="Times New Roman"/>
          <w:sz w:val="24"/>
          <w:szCs w:val="24"/>
          <w:rtl w:val="0"/>
        </w:rPr>
        <w:t xml:space="preserve">, write a 1,000–1,500 word analysis of the rhetoric of the speech using the five Canons. You SHOULD  analyze both the composition of the speech itself and the components of her memory and delivery if relevant to your thesis statement. You do not need to use all of the five Canons and should be strategic in the material you select to make your case.</w:t>
      </w:r>
    </w:p>
    <w:p w:rsidR="00000000" w:rsidDel="00000000" w:rsidP="00000000" w:rsidRDefault="00000000" w:rsidRPr="00000000" w14:paraId="00000007">
      <w:pPr>
        <w:pBdr>
          <w:top w:color="auto" w:space="0" w:sz="0" w:val="none"/>
          <w:left w:color="auto" w:space="0" w:sz="0" w:val="none"/>
          <w:bottom w:color="auto" w:space="0" w:sz="0" w:val="none"/>
          <w:right w:color="auto" w:space="0" w:sz="0" w:val="none"/>
          <w:between w:color="auto" w:space="0" w:sz="0" w:val="none"/>
        </w:pBdr>
        <w:shd w:fill="f4f4f4" w:val="clear"/>
        <w:spacing w:after="200" w:lineRule="auto"/>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8">
      <w:pPr>
        <w:pBdr>
          <w:top w:color="auto" w:space="0" w:sz="0" w:val="none"/>
          <w:left w:color="auto" w:space="0" w:sz="0" w:val="none"/>
          <w:bottom w:color="auto" w:space="0" w:sz="0" w:val="none"/>
          <w:right w:color="auto" w:space="0" w:sz="0" w:val="none"/>
          <w:between w:color="auto" w:space="0" w:sz="0" w:val="none"/>
        </w:pBdr>
        <w:shd w:fill="f4f4f4" w:val="clear"/>
        <w:spacing w:after="200" w:lineRule="auto"/>
        <w:ind w:left="720" w:firstLine="0"/>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sz w:val="24"/>
          <w:szCs w:val="24"/>
          <w:u w:val="single"/>
          <w:rtl w:val="0"/>
        </w:rPr>
        <w:t xml:space="preserve">Secondary Sources</w:t>
      </w:r>
    </w:p>
    <w:p w:rsidR="00000000" w:rsidDel="00000000" w:rsidP="00000000" w:rsidRDefault="00000000" w:rsidRPr="00000000" w14:paraId="00000009">
      <w:pPr>
        <w:numPr>
          <w:ilvl w:val="0"/>
          <w:numId w:val="1"/>
        </w:numPr>
        <w:pBdr>
          <w:top w:color="auto" w:space="0" w:sz="0" w:val="none"/>
          <w:bottom w:color="auto" w:space="0" w:sz="0" w:val="none"/>
          <w:right w:color="auto" w:space="0" w:sz="0" w:val="none"/>
          <w:between w:color="auto" w:space="0" w:sz="0" w:val="none"/>
        </w:pBdr>
        <w:spacing w:after="0" w:afterAutospacing="0" w:before="420" w:lineRule="auto"/>
        <w:ind w:left="144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sz w:val="24"/>
          <w:szCs w:val="24"/>
          <w:rtl w:val="0"/>
        </w:rPr>
        <w:t xml:space="preserve">Fuentes, M. J. G., Nicolau, E. G., &amp; García, R. M. (2016). Celebrities, gender-based violence and women's rights: towards the transformation of the framework of recognition?</w:t>
      </w:r>
      <w:r w:rsidDel="00000000" w:rsidR="00000000" w:rsidRPr="00000000">
        <w:rPr>
          <w:rFonts w:ascii="Times New Roman" w:cs="Times New Roman" w:eastAsia="Times New Roman" w:hAnsi="Times New Roman"/>
          <w:i w:val="1"/>
          <w:sz w:val="24"/>
          <w:szCs w:val="24"/>
          <w:rtl w:val="0"/>
        </w:rPr>
        <w:t xml:space="preserve">Revista Latina de Comunicación Social</w:t>
      </w:r>
      <w:r w:rsidDel="00000000" w:rsidR="00000000" w:rsidRPr="00000000">
        <w:rPr>
          <w:rFonts w:ascii="Times New Roman" w:cs="Times New Roman" w:eastAsia="Times New Roman" w:hAnsi="Times New Roman"/>
          <w:sz w:val="24"/>
          <w:szCs w:val="24"/>
          <w:rtl w:val="0"/>
        </w:rPr>
        <w:t xml:space="preserve">, (71), 833.</w:t>
      </w:r>
    </w:p>
    <w:p w:rsidR="00000000" w:rsidDel="00000000" w:rsidP="00000000" w:rsidRDefault="00000000" w:rsidRPr="00000000" w14:paraId="0000000A">
      <w:pPr>
        <w:numPr>
          <w:ilvl w:val="0"/>
          <w:numId w:val="1"/>
        </w:numPr>
        <w:pBdr>
          <w:top w:color="auto" w:space="0" w:sz="0" w:val="none"/>
          <w:bottom w:color="auto" w:space="0" w:sz="0" w:val="none"/>
          <w:right w:color="auto" w:space="0" w:sz="0" w:val="none"/>
          <w:between w:color="auto" w:space="0" w:sz="0" w:val="none"/>
        </w:pBdr>
        <w:spacing w:after="0" w:afterAutospacing="0" w:before="0" w:beforeAutospacing="0" w:lineRule="auto"/>
        <w:ind w:left="144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sz w:val="24"/>
          <w:szCs w:val="24"/>
          <w:rtl w:val="0"/>
        </w:rPr>
        <w:t xml:space="preserve">Matos, J. (2015). Women’s rights in public address: A feminist rhetorical critique. </w:t>
      </w:r>
      <w:r w:rsidDel="00000000" w:rsidR="00000000" w:rsidRPr="00000000">
        <w:rPr>
          <w:rFonts w:ascii="Times New Roman" w:cs="Times New Roman" w:eastAsia="Times New Roman" w:hAnsi="Times New Roman"/>
          <w:i w:val="1"/>
          <w:sz w:val="24"/>
          <w:szCs w:val="24"/>
          <w:rtl w:val="0"/>
        </w:rPr>
        <w:t xml:space="preserve">Colloquy</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sz w:val="24"/>
          <w:szCs w:val="24"/>
          <w:rtl w:val="0"/>
        </w:rPr>
        <w:t xml:space="preserve">11</w:t>
      </w:r>
      <w:r w:rsidDel="00000000" w:rsidR="00000000" w:rsidRPr="00000000">
        <w:rPr>
          <w:rFonts w:ascii="Times New Roman" w:cs="Times New Roman" w:eastAsia="Times New Roman" w:hAnsi="Times New Roman"/>
          <w:sz w:val="24"/>
          <w:szCs w:val="24"/>
          <w:rtl w:val="0"/>
        </w:rPr>
        <w:t xml:space="preserve">, 1-22.</w:t>
      </w:r>
    </w:p>
    <w:p w:rsidR="00000000" w:rsidDel="00000000" w:rsidP="00000000" w:rsidRDefault="00000000" w:rsidRPr="00000000" w14:paraId="0000000B">
      <w:pPr>
        <w:numPr>
          <w:ilvl w:val="0"/>
          <w:numId w:val="1"/>
        </w:numPr>
        <w:pBdr>
          <w:top w:color="auto" w:space="0" w:sz="0" w:val="none"/>
          <w:bottom w:color="auto" w:space="0" w:sz="0" w:val="none"/>
          <w:right w:color="auto" w:space="0" w:sz="0" w:val="none"/>
          <w:between w:color="auto" w:space="0" w:sz="0" w:val="none"/>
        </w:pBdr>
        <w:spacing w:after="0" w:afterAutospacing="0" w:before="0" w:beforeAutospacing="0" w:lineRule="auto"/>
        <w:ind w:left="144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sz w:val="24"/>
          <w:szCs w:val="24"/>
          <w:rtl w:val="0"/>
        </w:rPr>
        <w:t xml:space="preserve">Sowards, S. K., &amp; Renegar, V. R. (2006). Reconceptualizing rhetorical activism in contemporary feminist contexts. </w:t>
      </w:r>
      <w:r w:rsidDel="00000000" w:rsidR="00000000" w:rsidRPr="00000000">
        <w:rPr>
          <w:rFonts w:ascii="Times New Roman" w:cs="Times New Roman" w:eastAsia="Times New Roman" w:hAnsi="Times New Roman"/>
          <w:i w:val="1"/>
          <w:sz w:val="24"/>
          <w:szCs w:val="24"/>
          <w:rtl w:val="0"/>
        </w:rPr>
        <w:t xml:space="preserve">The Howard Journal of Communications</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sz w:val="24"/>
          <w:szCs w:val="24"/>
          <w:rtl w:val="0"/>
        </w:rPr>
        <w:t xml:space="preserve">17</w:t>
      </w:r>
      <w:r w:rsidDel="00000000" w:rsidR="00000000" w:rsidRPr="00000000">
        <w:rPr>
          <w:rFonts w:ascii="Times New Roman" w:cs="Times New Roman" w:eastAsia="Times New Roman" w:hAnsi="Times New Roman"/>
          <w:sz w:val="24"/>
          <w:szCs w:val="24"/>
          <w:rtl w:val="0"/>
        </w:rPr>
        <w:t xml:space="preserve">(1), 57-74.</w:t>
      </w:r>
    </w:p>
    <w:p w:rsidR="00000000" w:rsidDel="00000000" w:rsidP="00000000" w:rsidRDefault="00000000" w:rsidRPr="00000000" w14:paraId="0000000C">
      <w:pPr>
        <w:numPr>
          <w:ilvl w:val="0"/>
          <w:numId w:val="1"/>
        </w:numPr>
        <w:pBdr>
          <w:top w:color="auto" w:space="0" w:sz="0" w:val="none"/>
          <w:bottom w:color="auto" w:space="0" w:sz="0" w:val="none"/>
          <w:right w:color="auto" w:space="0" w:sz="0" w:val="none"/>
          <w:between w:color="auto" w:space="0" w:sz="0" w:val="none"/>
        </w:pBdr>
        <w:spacing w:after="420" w:before="0" w:beforeAutospacing="0" w:lineRule="auto"/>
        <w:ind w:left="144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sz w:val="24"/>
          <w:szCs w:val="24"/>
          <w:rtl w:val="0"/>
        </w:rPr>
        <w:t xml:space="preserve">Wheeler, M. (2011). Celebrity diplomacy: United Nations’ Goodwill Ambassadors and Messengers of Peace. </w:t>
      </w:r>
      <w:r w:rsidDel="00000000" w:rsidR="00000000" w:rsidRPr="00000000">
        <w:rPr>
          <w:rFonts w:ascii="Times New Roman" w:cs="Times New Roman" w:eastAsia="Times New Roman" w:hAnsi="Times New Roman"/>
          <w:i w:val="1"/>
          <w:sz w:val="24"/>
          <w:szCs w:val="24"/>
          <w:rtl w:val="0"/>
        </w:rPr>
        <w:t xml:space="preserve">Celebrity Studies</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sz w:val="24"/>
          <w:szCs w:val="24"/>
          <w:rtl w:val="0"/>
        </w:rPr>
        <w:t xml:space="preserve">2</w:t>
      </w:r>
      <w:r w:rsidDel="00000000" w:rsidR="00000000" w:rsidRPr="00000000">
        <w:rPr>
          <w:rFonts w:ascii="Times New Roman" w:cs="Times New Roman" w:eastAsia="Times New Roman" w:hAnsi="Times New Roman"/>
          <w:sz w:val="24"/>
          <w:szCs w:val="24"/>
          <w:rtl w:val="0"/>
        </w:rPr>
        <w:t xml:space="preserve">(1), 6-18.</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D">
      <w:pPr>
        <w:pBdr>
          <w:top w:color="auto" w:space="0" w:sz="0" w:val="none"/>
          <w:left w:color="auto" w:space="0" w:sz="0" w:val="none"/>
          <w:bottom w:color="auto" w:space="0" w:sz="0" w:val="none"/>
          <w:right w:color="auto" w:space="0" w:sz="0" w:val="none"/>
          <w:between w:color="auto" w:space="0" w:sz="0" w:val="none"/>
        </w:pBdr>
        <w:shd w:fill="f4f4f4" w:val="clear"/>
        <w:spacing w:after="20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paper must have an introduction that includes a </w:t>
      </w:r>
      <w:r w:rsidDel="00000000" w:rsidR="00000000" w:rsidRPr="00000000">
        <w:rPr>
          <w:rFonts w:ascii="Times New Roman" w:cs="Times New Roman" w:eastAsia="Times New Roman" w:hAnsi="Times New Roman"/>
          <w:b w:val="1"/>
          <w:sz w:val="24"/>
          <w:szCs w:val="24"/>
          <w:rtl w:val="0"/>
        </w:rPr>
        <w:t xml:space="preserve">strong thesis statement</w:t>
      </w:r>
      <w:r w:rsidDel="00000000" w:rsidR="00000000" w:rsidRPr="00000000">
        <w:rPr>
          <w:rFonts w:ascii="Times New Roman" w:cs="Times New Roman" w:eastAsia="Times New Roman" w:hAnsi="Times New Roman"/>
          <w:sz w:val="24"/>
          <w:szCs w:val="24"/>
          <w:rtl w:val="0"/>
        </w:rPr>
        <w:t xml:space="preserve"> that assesses the effectiveness of the rhetoric employed by Emma Watson and how you intend to show that the speech was or was not effective. In other words, </w:t>
      </w:r>
      <w:r w:rsidDel="00000000" w:rsidR="00000000" w:rsidRPr="00000000">
        <w:rPr>
          <w:rFonts w:ascii="Times New Roman" w:cs="Times New Roman" w:eastAsia="Times New Roman" w:hAnsi="Times New Roman"/>
          <w:b w:val="1"/>
          <w:sz w:val="24"/>
          <w:szCs w:val="24"/>
          <w:rtl w:val="0"/>
        </w:rPr>
        <w:t xml:space="preserve">rhetoric becomes the lens from which you can explain whether or not you liked her speech and the way she presented it</w:t>
      </w:r>
      <w:r w:rsidDel="00000000" w:rsidR="00000000" w:rsidRPr="00000000">
        <w:rPr>
          <w:rFonts w:ascii="Times New Roman" w:cs="Times New Roman" w:eastAsia="Times New Roman" w:hAnsi="Times New Roman"/>
          <w:sz w:val="24"/>
          <w:szCs w:val="24"/>
          <w:rtl w:val="0"/>
        </w:rPr>
        <w:t xml:space="preserve">. It is also expected that you will use proper APA citation style throughout the paper and that you will incorporate your two secondary sources in a meaningful manner.</w:t>
      </w:r>
    </w:p>
    <w:p w:rsidR="00000000" w:rsidDel="00000000" w:rsidP="00000000" w:rsidRDefault="00000000" w:rsidRPr="00000000" w14:paraId="0000000E">
      <w:pPr>
        <w:pBdr>
          <w:top w:color="auto" w:space="0" w:sz="0" w:val="none"/>
          <w:left w:color="auto" w:space="0" w:sz="0" w:val="none"/>
          <w:bottom w:color="auto" w:space="0" w:sz="0" w:val="none"/>
          <w:right w:color="auto" w:space="0" w:sz="0" w:val="none"/>
          <w:between w:color="auto" w:space="0" w:sz="0" w:val="none"/>
        </w:pBdr>
        <w:shd w:fill="f4f4f4" w:val="clear"/>
        <w:spacing w:after="20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b w:val="1"/>
          <w:sz w:val="24"/>
          <w:szCs w:val="24"/>
          <w:rtl w:val="0"/>
        </w:rPr>
        <w:t xml:space="preserve">Learning Objectives</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sz w:val="24"/>
          <w:szCs w:val="24"/>
          <w:rtl w:val="0"/>
        </w:rPr>
        <w:t xml:space="preserve">(Note: The number of each objective matches those on the course outline.)</w:t>
      </w:r>
    </w:p>
    <w:p w:rsidR="00000000" w:rsidDel="00000000" w:rsidP="00000000" w:rsidRDefault="00000000" w:rsidRPr="00000000" w14:paraId="0000000F">
      <w:pPr>
        <w:pBdr>
          <w:top w:color="auto" w:space="0" w:sz="0" w:val="none"/>
          <w:left w:color="auto" w:space="0" w:sz="0" w:val="none"/>
          <w:bottom w:color="auto" w:space="0" w:sz="0" w:val="none"/>
          <w:right w:color="auto" w:space="0" w:sz="0" w:val="none"/>
          <w:between w:color="auto" w:space="0" w:sz="0" w:val="none"/>
        </w:pBdr>
        <w:shd w:fill="f4f4f4" w:val="clear"/>
        <w:spacing w:after="20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2a. Use Communication Theories to critique media texts.</w:t>
      </w:r>
    </w:p>
    <w:p w:rsidR="00000000" w:rsidDel="00000000" w:rsidP="00000000" w:rsidRDefault="00000000" w:rsidRPr="00000000" w14:paraId="00000010">
      <w:pPr>
        <w:pBdr>
          <w:top w:color="auto" w:space="0" w:sz="0" w:val="none"/>
          <w:left w:color="auto" w:space="0" w:sz="0" w:val="none"/>
          <w:bottom w:color="auto" w:space="0" w:sz="0" w:val="none"/>
          <w:right w:color="auto" w:space="0" w:sz="0" w:val="none"/>
          <w:between w:color="auto" w:space="0" w:sz="0" w:val="none"/>
        </w:pBdr>
        <w:shd w:fill="f4f4f4" w:val="clear"/>
        <w:spacing w:after="20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2b. Use Communication Theories to evaluate the potential impact of media messages on audiences.</w:t>
      </w:r>
    </w:p>
    <w:p w:rsidR="00000000" w:rsidDel="00000000" w:rsidP="00000000" w:rsidRDefault="00000000" w:rsidRPr="00000000" w14:paraId="00000011">
      <w:pPr>
        <w:pBdr>
          <w:top w:color="auto" w:space="0" w:sz="0" w:val="none"/>
          <w:left w:color="auto" w:space="0" w:sz="0" w:val="none"/>
          <w:bottom w:color="auto" w:space="0" w:sz="0" w:val="none"/>
          <w:right w:color="auto" w:space="0" w:sz="0" w:val="none"/>
          <w:between w:color="auto" w:space="0" w:sz="0" w:val="none"/>
        </w:pBdr>
        <w:shd w:fill="f4f4f4" w:val="clear"/>
        <w:spacing w:after="20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3a. Find and use relevant academic secondary sources to explain the applicability of various Communication Theories in relation to various communication acts.</w:t>
      </w:r>
    </w:p>
    <w:p w:rsidR="00000000" w:rsidDel="00000000" w:rsidP="00000000" w:rsidRDefault="00000000" w:rsidRPr="00000000" w14:paraId="00000012">
      <w:pPr>
        <w:rPr>
          <w:rFonts w:ascii="Times New Roman" w:cs="Times New Roman" w:eastAsia="Times New Roman" w:hAnsi="Times New Roman"/>
          <w:sz w:val="24"/>
          <w:szCs w:val="24"/>
        </w:rPr>
      </w:pP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Arial" w:cs="Arial" w:eastAsia="Arial" w:hAnsi="Arial"/>
        <w:color w:val="111111"/>
        <w:sz w:val="20"/>
        <w:szCs w:val="2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www.americanrhetoric.com/speeches/emmawatsonunitednationspeech.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